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CF" w:rsidRDefault="003500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3500CF" w:rsidRDefault="003500CF" w:rsidP="003500CF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500C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Приказ Минздрава России № 441н от 25 октября 2012 г.</w:t>
      </w:r>
    </w:p>
    <w:p w:rsidR="003500CF" w:rsidRDefault="003500CF" w:rsidP="003500CF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0CF" w:rsidRDefault="003500CF" w:rsidP="003500CF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500C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Об утверждении порядка оказания медицинской помощи детям по профилю "ревматология"</w:t>
      </w:r>
    </w:p>
    <w:p w:rsidR="003500CF" w:rsidRPr="003500CF" w:rsidRDefault="003500CF" w:rsidP="003500CF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0CF" w:rsidRPr="003500CF" w:rsidRDefault="003500CF" w:rsidP="003500C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8"/>
          <w:szCs w:val="28"/>
          <w:lang w:eastAsia="ru-RU"/>
        </w:rPr>
      </w:pPr>
      <w:r w:rsidRPr="003500CF">
        <w:rPr>
          <w:rFonts w:ascii="Times New Roman" w:eastAsia="Times New Roman" w:hAnsi="Times New Roman" w:cs="Times New Roman"/>
          <w:color w:val="40515B"/>
          <w:sz w:val="28"/>
          <w:szCs w:val="28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500CF" w:rsidRPr="003500CF" w:rsidRDefault="003500CF" w:rsidP="003500C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8"/>
          <w:szCs w:val="28"/>
          <w:lang w:eastAsia="ru-RU"/>
        </w:rPr>
      </w:pPr>
      <w:r w:rsidRPr="003500CF">
        <w:rPr>
          <w:rFonts w:ascii="Times New Roman" w:eastAsia="Times New Roman" w:hAnsi="Times New Roman" w:cs="Times New Roman"/>
          <w:color w:val="40515B"/>
          <w:sz w:val="28"/>
          <w:szCs w:val="28"/>
          <w:lang w:eastAsia="ru-RU"/>
        </w:rPr>
        <w:t>1. Утвердить прилагаемый Порядок оказания медицинской помощи детям по профилю "ревматология".</w:t>
      </w:r>
    </w:p>
    <w:p w:rsidR="003500CF" w:rsidRPr="003500CF" w:rsidRDefault="003500CF" w:rsidP="003500C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8"/>
          <w:szCs w:val="28"/>
          <w:lang w:eastAsia="ru-RU"/>
        </w:rPr>
      </w:pPr>
      <w:r w:rsidRPr="003500CF">
        <w:rPr>
          <w:rFonts w:ascii="Times New Roman" w:eastAsia="Times New Roman" w:hAnsi="Times New Roman" w:cs="Times New Roman"/>
          <w:color w:val="40515B"/>
          <w:sz w:val="28"/>
          <w:szCs w:val="28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3500CF" w:rsidRPr="003500CF" w:rsidRDefault="003500CF" w:rsidP="003500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</w:pPr>
      <w:r w:rsidRPr="003500CF"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  <w:t>Министр </w:t>
      </w:r>
      <w:r w:rsidRPr="003500CF"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  <w:br/>
        <w:t>В.И. Скворцова</w:t>
      </w:r>
    </w:p>
    <w:p w:rsidR="003500CF" w:rsidRPr="003500CF" w:rsidRDefault="003500CF">
      <w:pPr>
        <w:rPr>
          <w:rFonts w:ascii="Times New Roman" w:hAnsi="Times New Roman" w:cs="Times New Roman"/>
        </w:rPr>
      </w:pPr>
      <w:r w:rsidRPr="003500CF">
        <w:rPr>
          <w:rFonts w:ascii="Times New Roman" w:hAnsi="Times New Roman" w:cs="Times New Roman"/>
        </w:rPr>
        <w:br w:type="page"/>
      </w:r>
    </w:p>
    <w:p w:rsidR="003500CF" w:rsidRDefault="003500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DF73C3" w:rsidRDefault="00DF73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ДЕТЯМ ПО ПРОФИЛЮ "РЕВМАТОЛОГИЯ"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врачом-ревматологом.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4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</w:t>
      </w:r>
      <w:proofErr w:type="gramEnd"/>
      <w:r>
        <w:rPr>
          <w:rFonts w:ascii="Calibri" w:hAnsi="Calibri" w:cs="Calibri"/>
        </w:rPr>
        <w:t xml:space="preserve">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N6136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с изменениями, внесенными приказами Министерства здравоохранения </w:t>
      </w:r>
      <w:r>
        <w:rPr>
          <w:rFonts w:ascii="Calibri" w:hAnsi="Calibri" w:cs="Calibri"/>
        </w:rPr>
        <w:lastRenderedPageBreak/>
        <w:t>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</w:t>
      </w:r>
      <w:proofErr w:type="gramEnd"/>
      <w:r>
        <w:rPr>
          <w:rFonts w:ascii="Calibri" w:hAnsi="Calibri" w:cs="Calibri"/>
        </w:rPr>
        <w:t>., регистрационный N 23472).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ar80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5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ar270" w:history="1">
        <w:r>
          <w:rPr>
            <w:rFonts w:ascii="Calibri" w:hAnsi="Calibri" w:cs="Calibri"/>
            <w:color w:val="0000FF"/>
          </w:rPr>
          <w:t>приложениями N 4</w:t>
        </w:r>
      </w:hyperlink>
      <w:r>
        <w:rPr>
          <w:rFonts w:ascii="Calibri" w:hAnsi="Calibri" w:cs="Calibri"/>
        </w:rPr>
        <w:t xml:space="preserve"> - </w:t>
      </w:r>
      <w:hyperlink w:anchor="Par4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</w:t>
      </w:r>
      <w:proofErr w:type="spellStart"/>
      <w:r>
        <w:rPr>
          <w:rFonts w:ascii="Calibri" w:hAnsi="Calibri" w:cs="Calibri"/>
        </w:rPr>
        <w:t>цитофлюометром</w:t>
      </w:r>
      <w:proofErr w:type="spellEnd"/>
      <w:r>
        <w:rPr>
          <w:rFonts w:ascii="Calibri" w:hAnsi="Calibri" w:cs="Calibri"/>
        </w:rPr>
        <w:t xml:space="preserve">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медицинской помощи.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По медицинским показаниям дети, нуждающиеся в </w:t>
      </w:r>
      <w:proofErr w:type="spellStart"/>
      <w:r>
        <w:rPr>
          <w:rFonts w:ascii="Calibri" w:hAnsi="Calibri" w:cs="Calibri"/>
        </w:rPr>
        <w:t>эндопротезировании</w:t>
      </w:r>
      <w:proofErr w:type="spellEnd"/>
      <w:r>
        <w:rPr>
          <w:rFonts w:ascii="Calibri" w:hAnsi="Calibri" w:cs="Calibri"/>
        </w:rPr>
        <w:t>, направляются к врачу-травматологу-ортопеду для определения последующей тактики ведения ребенка.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ПРАВИЛА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врача-ревматолога Кабинета назначается специалист, соответствующий Квалификационным </w:t>
      </w:r>
      <w:hyperlink r:id="rId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декабря 2011 г. N</w:t>
      </w:r>
      <w:proofErr w:type="gramEnd"/>
      <w:r>
        <w:rPr>
          <w:rFonts w:ascii="Calibri" w:hAnsi="Calibri" w:cs="Calibri"/>
        </w:rPr>
        <w:t xml:space="preserve"> 1644н (зарегистрирован Минюстом России 18 апреля 2012 г., регистрационный N 23879), по </w:t>
      </w:r>
      <w:hyperlink r:id="rId7" w:history="1">
        <w:r>
          <w:rPr>
            <w:rFonts w:ascii="Calibri" w:hAnsi="Calibri" w:cs="Calibri"/>
            <w:color w:val="0000FF"/>
          </w:rPr>
          <w:t>специальности</w:t>
        </w:r>
      </w:hyperlink>
      <w:r>
        <w:rPr>
          <w:rFonts w:ascii="Calibri" w:hAnsi="Calibri" w:cs="Calibri"/>
        </w:rPr>
        <w:t xml:space="preserve"> "ревматология".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детей для оказания медицинской помощи в стационарных условиях;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детей </w:t>
      </w:r>
      <w:proofErr w:type="gramStart"/>
      <w:r>
        <w:rPr>
          <w:rFonts w:ascii="Calibri" w:hAnsi="Calibri" w:cs="Calibri"/>
        </w:rPr>
        <w:t>при наличии медицинских показаний на консультации в медицинские организации к врачам-специалистам по специальностям</w:t>
      </w:r>
      <w:proofErr w:type="gramEnd"/>
      <w:r>
        <w:rPr>
          <w:rFonts w:ascii="Calibri" w:hAnsi="Calibri" w:cs="Calibri"/>
        </w:rPr>
        <w:t xml:space="preserve">, предусмотренным </w:t>
      </w:r>
      <w:hyperlink r:id="rId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rPr>
          <w:rFonts w:ascii="Calibri" w:hAnsi="Calibri" w:cs="Calibri"/>
        </w:rPr>
        <w:lastRenderedPageBreak/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 апреля 2009 г. N 210н;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организация выполнения индивидуальных программ реабилитации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мероприятий, направленных на предупреждение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, рецидивов заболеваний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на медико-социальную экспертизу для оформления инвалидности;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9"/>
      <w:bookmarkEnd w:id="3"/>
      <w:r>
        <w:rPr>
          <w:rFonts w:ascii="Calibri" w:hAnsi="Calibri" w:cs="Calibri"/>
        </w:rPr>
        <w:t>РЕКОМЕНДУЕМЫЕ ШТАТНЫЕ НОРМАТИВЫ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детей       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врача-ревматолога 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детский ревматологический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 (2 помещения)    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9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1"/>
      <w:bookmarkEnd w:id="4"/>
      <w:r>
        <w:rPr>
          <w:rFonts w:ascii="Calibri" w:hAnsi="Calibri" w:cs="Calibri"/>
        </w:rPr>
        <w:t>СТАНДАРТ ОСНАЩЕНИЯ ДЕТСКОГО 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 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оснащения процедурной для проведения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противоревматической терапии, в том числе </w:t>
      </w:r>
      <w:proofErr w:type="gramStart"/>
      <w:r>
        <w:rPr>
          <w:rFonts w:ascii="Calibri" w:hAnsi="Calibri" w:cs="Calibri"/>
        </w:rPr>
        <w:t>генно-инженерными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биологическими препаратами (подкожное и внутримышечное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введение лекарственных средств))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артериального давления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ревматологического кабинета для проведения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противоревматической терапии, в том числе </w:t>
      </w:r>
      <w:proofErr w:type="gramStart"/>
      <w:r>
        <w:rPr>
          <w:rFonts w:ascii="Calibri" w:hAnsi="Calibri" w:cs="Calibri"/>
        </w:rPr>
        <w:t>генно-инженерными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биологическими препаратами (подкожное и внутримышечное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введение лекарственных средств)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оказания неотложной помощи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обработки использованных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0"/>
      <w:bookmarkEnd w:id="5"/>
      <w:r>
        <w:rPr>
          <w:rFonts w:ascii="Calibri" w:hAnsi="Calibri" w:cs="Calibri"/>
        </w:rPr>
        <w:t>ПРАВИЛА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РЕВМАТОЛОГИЧЕСКОГО ОТДЕЛЕНИЯ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1" w:history="1">
        <w:r>
          <w:rPr>
            <w:rFonts w:ascii="Calibri" w:hAnsi="Calibri" w:cs="Calibri"/>
            <w:color w:val="0000FF"/>
          </w:rPr>
          <w:t>специальности</w:t>
        </w:r>
      </w:hyperlink>
      <w:r>
        <w:rPr>
          <w:rFonts w:ascii="Calibri" w:hAnsi="Calibri" w:cs="Calibri"/>
        </w:rPr>
        <w:t xml:space="preserve"> "ревматология".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</w:t>
      </w:r>
      <w:hyperlink r:id="rId12" w:history="1">
        <w:r>
          <w:rPr>
            <w:rFonts w:ascii="Calibri" w:hAnsi="Calibri" w:cs="Calibri"/>
            <w:color w:val="0000FF"/>
          </w:rPr>
          <w:t>Квалификационным</w:t>
        </w:r>
      </w:hyperlink>
      <w:r>
        <w:rPr>
          <w:rFonts w:ascii="Calibri" w:hAnsi="Calibri" w:cs="Calibri"/>
        </w:rPr>
        <w:t xml:space="preserve">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3" w:history="1">
        <w:r>
          <w:rPr>
            <w:rFonts w:ascii="Calibri" w:hAnsi="Calibri" w:cs="Calibri"/>
            <w:color w:val="0000FF"/>
          </w:rPr>
          <w:t>специальности</w:t>
        </w:r>
      </w:hyperlink>
      <w:r>
        <w:rPr>
          <w:rFonts w:ascii="Calibri" w:hAnsi="Calibri" w:cs="Calibri"/>
        </w:rPr>
        <w:t xml:space="preserve"> "ревматология".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33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18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родителей;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манипуляционную</w:t>
      </w:r>
      <w:proofErr w:type="gramEnd"/>
      <w:r>
        <w:rPr>
          <w:rFonts w:ascii="Calibri" w:hAnsi="Calibri" w:cs="Calibri"/>
        </w:rPr>
        <w:t xml:space="preserve"> для проведения внутрисуставных инъекций;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массажа;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занятий лечебной физкультурой.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средних медицинских работников;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чистого белья;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медицинского персонала;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для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детям;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мероприятий, направленных на предупреждение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, рецидивов заболеваний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Отделение может использоваться в качестве клинической базы образовательных </w:t>
      </w:r>
      <w:r>
        <w:rPr>
          <w:rFonts w:ascii="Calibri" w:hAnsi="Calibri" w:cs="Calibri"/>
        </w:rP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36"/>
      <w:bookmarkEnd w:id="6"/>
      <w:r>
        <w:rPr>
          <w:rFonts w:ascii="Calibri" w:hAnsi="Calibri" w:cs="Calibri"/>
        </w:rPr>
        <w:t>РЕКОМЕНДУЕМЫЕ ШТАТНЫЕ НОРМАТИВЫ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РЕВМАТОЛОГИЧЕСКОГО ОТДЕЛЕНИЯ &lt;*&gt;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800"/>
        <w:gridCol w:w="3480"/>
      </w:tblGrid>
      <w:tr w:rsidR="00DF73C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единиц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врач-ревматолог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 на 30 коек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работы)  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манипуляционной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для     проведения     внутрисуставных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инъекций)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(процедурной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        противоревматической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терапии, в том числе генно-инженерными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биологическими препаратами)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 на 30 коек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работы)  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(дневного стационара)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палатная (дневного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стационара)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сестра    (процедурной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дневного   стационара  для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противоревматической  терапии,  в 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генно-инженерными биологическими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препаратами)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(дневного стационара)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18"/>
      <w:bookmarkEnd w:id="7"/>
      <w:r>
        <w:rPr>
          <w:rFonts w:ascii="Calibri" w:hAnsi="Calibri" w:cs="Calibri"/>
        </w:rPr>
        <w:t>СТАНДАРТ ОСНАЩЕНИЯ ДЕТСКОГО РЕВМАТОЛОГИЧЕСКОГО ОТДЕЛЕНИЯ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ревматологического отделения (мощностью 30 коек)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оснащения процедурной, процедурной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противоревматической терапии, в том числе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генно-инженерными биологическими препаратами (внутривенное,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подкожное и внутримышечное введение лекарственных средств),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манипуляционной</w:t>
      </w:r>
      <w:proofErr w:type="gramEnd"/>
      <w:r>
        <w:rPr>
          <w:rFonts w:ascii="Calibri" w:hAnsi="Calibri" w:cs="Calibri"/>
        </w:rPr>
        <w:t xml:space="preserve"> для проведения внутрисуставных инъекций)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Функциональные  кровати   для 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Кроватки с подогревом или матрасики для обогрева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матрасы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   с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артериального   давления,    частоты   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крови кислородом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манипуляционной</w:t>
      </w:r>
      <w:proofErr w:type="gramEnd"/>
      <w:r>
        <w:rPr>
          <w:rFonts w:ascii="Calibri" w:hAnsi="Calibri" w:cs="Calibri"/>
        </w:rPr>
        <w:t xml:space="preserve"> для проведения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внутрисуставных инъекций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с противошоковыми препаратами для скорой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с противошоковыми препаратами для скорой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помощи, аптечка анти-СПИД, аптечки первой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атипичной пневмонии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Холодильная камера для хранения препаратов крови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Тромбомиксер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веществ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  <w:r>
        <w:rPr>
          <w:rFonts w:ascii="Calibri" w:hAnsi="Calibri" w:cs="Calibri"/>
        </w:rPr>
        <w:t xml:space="preserve"> для проведения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противоревматической терапии, в том числе </w:t>
      </w:r>
      <w:proofErr w:type="gramStart"/>
      <w:r>
        <w:rPr>
          <w:rFonts w:ascii="Calibri" w:hAnsi="Calibri" w:cs="Calibri"/>
        </w:rPr>
        <w:t>генно-инженерными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биологическими препаратами (внутривенное, подкожное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внутримышечное введение лекарственных средств)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для детей грудного возраста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койку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хранения   лекарственных   средств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инструментов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  с   противошоковыми   препаратами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с определением температуры тела, 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 электрокардиографией,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артериального давления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койку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койку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койку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3500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C3"/>
    <w:rsid w:val="00112692"/>
    <w:rsid w:val="00124CA1"/>
    <w:rsid w:val="0016070F"/>
    <w:rsid w:val="001A1536"/>
    <w:rsid w:val="0026151A"/>
    <w:rsid w:val="003500CF"/>
    <w:rsid w:val="003A6EC6"/>
    <w:rsid w:val="00405C94"/>
    <w:rsid w:val="0041687D"/>
    <w:rsid w:val="004215B6"/>
    <w:rsid w:val="004A1C24"/>
    <w:rsid w:val="005F2BC1"/>
    <w:rsid w:val="006A261C"/>
    <w:rsid w:val="006C338C"/>
    <w:rsid w:val="009C057D"/>
    <w:rsid w:val="00A564CC"/>
    <w:rsid w:val="00A7430B"/>
    <w:rsid w:val="00AC0BB2"/>
    <w:rsid w:val="00BE7AD0"/>
    <w:rsid w:val="00C26BDF"/>
    <w:rsid w:val="00C31BFD"/>
    <w:rsid w:val="00DF73C3"/>
    <w:rsid w:val="00F15C95"/>
    <w:rsid w:val="00F65D44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C1"/>
  </w:style>
  <w:style w:type="paragraph" w:styleId="1">
    <w:name w:val="heading 1"/>
    <w:basedOn w:val="a"/>
    <w:link w:val="10"/>
    <w:uiPriority w:val="9"/>
    <w:qFormat/>
    <w:rsid w:val="0035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500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B5260ECA9E782E39BB81F68E0B2CE6D81A513A715DFFF4DFAFFD5FCB9F7FB1E8F84C70AFE3A80BDk1H" TargetMode="External"/><Relationship Id="rId13" Type="http://schemas.openxmlformats.org/officeDocument/2006/relationships/hyperlink" Target="consultantplus://offline/ref=624B5260ECA9E782E39BB81F68E0B2CE6D82A81CA114DFFF4DFAFFD5FCB9F7FB1E8F84C70AFE3980BDk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B5260ECA9E782E39BB81F68E0B2CE6D82A81CA114DFFF4DFAFFD5FCB9F7FB1E8F84C70AFE3980BDk1H" TargetMode="External"/><Relationship Id="rId12" Type="http://schemas.openxmlformats.org/officeDocument/2006/relationships/hyperlink" Target="consultantplus://offline/ref=624B5260ECA9E782E39BB81F68E0B2CE6D82A81CA114DFFF4DFAFFD5FCB9F7FB1E8F84C70AFE3A81BDk8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2A81CA114DFFF4DFAFFD5FCB9F7FB1E8F84C70AFE3A81BDk8H" TargetMode="External"/><Relationship Id="rId11" Type="http://schemas.openxmlformats.org/officeDocument/2006/relationships/hyperlink" Target="consultantplus://offline/ref=624B5260ECA9E782E39BB81F68E0B2CE6D82A81CA114DFFF4DFAFFD5FCB9F7FB1E8F84C70AFE3980BDk1H" TargetMode="External"/><Relationship Id="rId5" Type="http://schemas.openxmlformats.org/officeDocument/2006/relationships/hyperlink" Target="consultantplus://offline/ref=624B5260ECA9E782E39BB81F68E0B2CE6D82A718A010DFFF4DFAFFD5FCBBk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4B5260ECA9E782E39BB81F68E0B2CE6D82A81CA114DFFF4DFAFFD5FCB9F7FB1E8F84C70AFE3A81BDk8H" TargetMode="External"/><Relationship Id="rId4" Type="http://schemas.openxmlformats.org/officeDocument/2006/relationships/hyperlink" Target="consultantplus://offline/ref=624B5260ECA9E782E39BB81F68E0B2CE6D81A513A715DFFF4DFAFFD5FCB9F7FB1E8F84C70AFE3A80BDk1H" TargetMode="External"/><Relationship Id="rId9" Type="http://schemas.openxmlformats.org/officeDocument/2006/relationships/hyperlink" Target="consultantplus://offline/ref=624B5260ECA9E782E39BB81F68E0B2CE6D82A91AAC10DFFF4DFAFFD5FCBBk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3</cp:revision>
  <cp:lastPrinted>2013-02-19T08:24:00Z</cp:lastPrinted>
  <dcterms:created xsi:type="dcterms:W3CDTF">2013-02-18T12:24:00Z</dcterms:created>
  <dcterms:modified xsi:type="dcterms:W3CDTF">2013-02-19T08:25:00Z</dcterms:modified>
</cp:coreProperties>
</file>